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8506" w:leader="none"/>
        </w:tabs>
        <w:jc w:val="right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Приложение № 1 Опросный лист на ОРУ 35 кВ для ПС 35/10 кВ Пляжная</w:t>
      </w:r>
    </w:p>
    <w:tbl>
      <w:tblPr>
        <w:tblW w:w="14490" w:type="dxa"/>
        <w:jc w:val="left"/>
        <w:tblInd w:w="0" w:type="dxa"/>
        <w:tblBorders>
          <w:top w:val="single" w:sz="8" w:space="0" w:color="000001"/>
          <w:left w:val="single" w:sz="8" w:space="0" w:color="000001"/>
          <w:right w:val="single" w:sz="8" w:space="0" w:color="000001"/>
          <w:insideV w:val="single" w:sz="8" w:space="0" w:color="000001"/>
        </w:tblBorders>
        <w:tblCellMar>
          <w:top w:w="0" w:type="dxa"/>
          <w:left w:w="6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56"/>
        <w:gridCol w:w="5967"/>
        <w:gridCol w:w="3828"/>
        <w:gridCol w:w="3938"/>
      </w:tblGrid>
      <w:tr>
        <w:trPr>
          <w:trHeight w:val="330" w:hRule="atLeas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right w:val="single" w:sz="8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5967" w:type="dxa"/>
            <w:tcBorders>
              <w:top w:val="single" w:sz="8" w:space="0" w:color="000001"/>
              <w:left w:val="single" w:sz="8" w:space="0" w:color="000001"/>
              <w:right w:val="single" w:sz="8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Технические требования для ПС</w:t>
            </w:r>
          </w:p>
        </w:tc>
        <w:tc>
          <w:tcPr>
            <w:tcW w:w="3828" w:type="dxa"/>
            <w:tcBorders>
              <w:top w:val="single" w:sz="8" w:space="0" w:color="000001"/>
              <w:left w:val="single" w:sz="4" w:space="0" w:color="000001"/>
              <w:right w:val="single" w:sz="8" w:space="0" w:color="000001"/>
              <w:insideV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Требования Заказчика</w:t>
            </w:r>
          </w:p>
        </w:tc>
        <w:tc>
          <w:tcPr>
            <w:tcW w:w="3938" w:type="dxa"/>
            <w:tcBorders>
              <w:top w:val="single" w:sz="8" w:space="0" w:color="000001"/>
              <w:left w:val="single" w:sz="4" w:space="0" w:color="000001"/>
              <w:right w:val="single" w:sz="8" w:space="0" w:color="000001"/>
              <w:insideV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Предложение Участника</w:t>
            </w:r>
          </w:p>
        </w:tc>
      </w:tr>
      <w:tr>
        <w:trPr>
          <w:trHeight w:val="315" w:hRule="atLeas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7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828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ОРУ 35 кВ для ПС 35/10 кВ Пляжная</w:t>
            </w:r>
          </w:p>
        </w:tc>
        <w:tc>
          <w:tcPr>
            <w:tcW w:w="3938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7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Изготовитель:</w:t>
            </w:r>
          </w:p>
        </w:tc>
        <w:tc>
          <w:tcPr>
            <w:tcW w:w="3828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3938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Схема главных электрических соединений РУ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35-3Н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Количество выключателей 35 кВ, шт.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983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Тип выключателя</w:t>
            </w:r>
          </w:p>
        </w:tc>
        <w:tc>
          <w:tcPr>
            <w:tcW w:w="382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Вакуумный выключатель наружной установки с электромагнитным приводом и системой измерений с   размещением системы оперативного тока в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шкафу управления выключателем.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Номинальный ток, не менее, А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Номинальный ток отключения, не менее, кА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Механический ресурс, не менее, циклов ВО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Ток электродинамической стойкости, не менее, кА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Ток термической стойкости (в течение 3с), не менее, кА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Ресурс по коммутационной стойкости, не менее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при номинальном токе, циклов ВО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при номинальном токе отключения, циклов ВО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30000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Собственное время включения, не более, мс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Собственное время отключения, не более, мс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Испытательное напряжение грозового импульса, не менее, кВ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Испытательное пятиминутное напряжение промышленной частоты, не менее, кВ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4.13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Цикл АПВ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 - 180 с - ВО - 180 с - ВО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Климатическое исполнение и категория размещения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УХЛ 1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4.15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Верхнее/нижнее рабочее значение температуры окружающего воздуха, °С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+40 / -60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4.16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Степень защиты корпуса коммутационного модуля, не ниже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IP 54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4.17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Верхнее значение относительной влажности воздуха при температуре 25 °С, не менее, %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4.18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Максимально допустимое значение скорости ветра в условиях отсутствия гололеда, не менее, м/с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4.19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Максимально допустимое значение скорости ветра в условиях обледенения проводов (толщина корки – 20 мм), не менее, м/с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4.20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Наибольшая высота эксплуатации над уровнем моря, не менее, м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4.21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Стойкость к внешним механическим факторам по ГОСТ 17516.1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М6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4.22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Масса (коммутационный модуль/шкаф управления),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коммутационного модуля, кг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шкафа управления, кг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*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4.23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Срок службы, не менее, лет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4.24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Срок службы аккумуляторной батареи при 25°С, не менее, лет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4.25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Коммутационное оборудование не должно требовать проведения плановых ремонтов на протяжении всего срока эксплуатации, да/нет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4.26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Аккумуляторная батарея</w:t>
            </w: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 xml:space="preserve"> располагается в шкафу управления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Тип разъединителя и тип привода 35 кВ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РГП-2-35/1000-20 с ручным приводом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Тип ошиновки 35 кВ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АСКС-70/11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Способ подключения к сети 35 кВ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ВЛ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ОПН 35 кВ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Трансформатор напряжения 35 кВ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A"/>
                <w:sz w:val="24"/>
                <w:szCs w:val="24"/>
                <w:lang w:val="ru-RU" w:eastAsia="ru-RU" w:bidi="ar-SA"/>
              </w:rPr>
              <w:t xml:space="preserve"> (НАЛИ-НТЗ-35-IV УХЛ1)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Трансформаторы тока 35 кВ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A"/>
                <w:sz w:val="24"/>
                <w:szCs w:val="24"/>
                <w:lang w:val="ru-RU" w:eastAsia="ru-RU" w:bidi="ar-SA"/>
              </w:rPr>
              <w:t xml:space="preserve"> (ТОЛ-НТЗ-35-IV 11 УХЛ1)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Организация цепей напряжения РЗА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Трансформаторы напряжения 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Организация токовых цепей РЗА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Трансформаторы тока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Наличие источника гарантированного оперативного питания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Индивидуальные аккумуляторные батареи в шкафу управления высокоавтоматизированных вакуумных выключателей наружной установки 35 и 10(6) кВ 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Способ прокладки вторичных кабелей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Металлические кабельные лотки, гофротрубы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Кол-во прожекторов, номинальная мощность, Вт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х 120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Ограждение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Просматриваемое сетчатое ограждение с Егозой с закладными элементами на основании типа фундамента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Молниезащита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Стержневой молниеотвод типа МСАП с  креплением на винтовую сваю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Контур заземления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Комплект контура заземления сопротивлением не более 4 Ом для грунтов с удельным сопротивлением до 200 Ом*м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vMerge w:val="restart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Тип фундамента ограждения (указан справочно для закладных ограждения)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vMerge w:val="continue"/>
            <w:tcBorders>
              <w:left w:val="single" w:sz="8" w:space="0" w:color="000001"/>
              <w:right w:val="single" w:sz="8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Монолитный фундамент ограждения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vMerge w:val="continue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Фундамент ограждения из винтовых свай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Тип покрытия металлоконструкций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Горячее цинкование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Учет электроэнергии (указать)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FF"/>
              </w:rPr>
            </w:pPr>
            <w:r>
              <w:rPr>
                <w:rFonts w:eastAsia="Times New Roman" w:cs="Times New Roman" w:ascii="Times New Roman" w:hAnsi="Times New Roman"/>
                <w:color w:val="0000FF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ListParagraph"/>
              <w:widowControl w:val="false"/>
              <w:suppressAutoHyphens w:val="true"/>
              <w:autoSpaceDE w:val="true"/>
              <w:spacing w:lineRule="auto" w:line="240" w:before="0" w:after="0"/>
              <w:ind w:left="0" w:right="0" w:hanging="0"/>
              <w:contextualSpacing/>
              <w:rPr>
                <w:color w:val="0000FF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  <w:lang w:val="ru-RU" w:eastAsia="zh-CN" w:bidi="ar-SA"/>
              </w:rPr>
              <w:t>Монтаж прибор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  <w:lang w:val="ru-RU" w:eastAsia="zh-CN" w:bidi="ar-SA"/>
              </w:rPr>
              <w:t>а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  <w:lang w:val="ru-RU" w:eastAsia="zh-CN" w:bidi="ar-SA"/>
              </w:rPr>
              <w:t xml:space="preserve"> учета электрической энергии выполнить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  <w:lang w:val="ru-RU" w:eastAsia="zh-CN" w:bidi="ar-SA"/>
              </w:rPr>
              <w:t>в шкафу автоматизации (УСПД) размещенного в ОПУ ПС 35/10кВ Пляжная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  <w:lang w:val="ru-RU" w:eastAsia="zh-CN" w:bidi="ar-SA"/>
              </w:rPr>
              <w:t xml:space="preserve">. 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ListParagraph"/>
              <w:widowControl w:val="false"/>
              <w:suppressAutoHyphens w:val="true"/>
              <w:autoSpaceDE w:val="true"/>
              <w:spacing w:lineRule="auto" w:line="240" w:before="0" w:after="0"/>
              <w:ind w:left="0" w:right="0" w:hanging="0"/>
              <w:contextualSpacing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color w:val="0000FF"/>
                <w:sz w:val="24"/>
                <w:szCs w:val="24"/>
                <w:u w:val="none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  <w:lang w:val="ru-RU" w:eastAsia="zh-CN" w:bidi="ar-SA"/>
              </w:rPr>
              <w:t xml:space="preserve">К установке принять приборы учета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  <w:lang w:val="ru-RU" w:eastAsia="zh-CN" w:bidi="ar-SA"/>
              </w:rPr>
              <w:t xml:space="preserve">косвенного включения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  <w:lang w:val="ru-RU" w:eastAsia="zh-CN" w:bidi="ar-SA"/>
              </w:rPr>
              <w:t>ТЕ 3000.03.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  <w:lang w:val="ru-RU" w:eastAsia="zh-CN" w:bidi="ar-SA"/>
              </w:rPr>
              <w:t xml:space="preserve"> (или эквивалент)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FF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FF"/>
              </w:rPr>
            </w:pPr>
            <w:r>
              <w:rPr>
                <w:rFonts w:eastAsia="Times New Roman" w:cs="Times New Roman" w:ascii="Times New Roman" w:hAnsi="Times New Roman"/>
                <w:color w:val="0000FF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 w:ascii="Times New Roman" w:hAnsi="Times New Roman"/>
                <w:color w:val="0000F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before="0" w:after="0"/>
              <w:rPr>
                <w:color w:val="0000FF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  <w:lang w:eastAsia="ru-RU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>змерительны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>е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 xml:space="preserve"> цеп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 xml:space="preserve"> счетчиков электроэнергии к трансформаторам тока  и напряжения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color w:val="0000FF"/>
              </w:rPr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color w:val="0000FF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  <w:lang w:eastAsia="ru-RU"/>
              </w:rPr>
              <w:t>Д</w:t>
            </w: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>ля подключения измерительных цепей счетчик</w:t>
            </w: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>а</w:t>
            </w: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 xml:space="preserve"> электроэнергии к трансформаторам тока  и напряжения предусмотреть испытательн</w:t>
            </w: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>ую</w:t>
            </w: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 xml:space="preserve"> коробк</w:t>
            </w: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>у</w:t>
            </w: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 xml:space="preserve"> </w:t>
            </w: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>размещенную в шкафу автоматизации (УСПД) и учета</w:t>
            </w: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 xml:space="preserve">. Выполнить монтаж испытательных коробок  предназначенных для обеспечения работ с приборами учета без разрыва токовых цепей. Обеспечить подключение приборов учета к испытательным </w:t>
            </w: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>коробкам</w:t>
            </w: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 xml:space="preserve"> проводом ПВ-1 1х2,5 мм.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FF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FF"/>
              </w:rPr>
            </w:pPr>
            <w:r>
              <w:rPr>
                <w:rFonts w:eastAsia="Times New Roman" w:cs="Times New Roman" w:ascii="Times New Roman" w:hAnsi="Times New Roman"/>
                <w:color w:val="0000FF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tabs>
                <w:tab w:val="left" w:pos="565" w:leader="none"/>
                <w:tab w:val="left" w:pos="993" w:leader="none"/>
              </w:tabs>
              <w:spacing w:lineRule="exact" w:line="274" w:before="0" w:after="0"/>
              <w:rPr>
                <w:color w:val="0000FF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 xml:space="preserve">Организация вторичных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 xml:space="preserve">цепей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>учета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 xml:space="preserve"> (цеп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 xml:space="preserve"> тока и напряжения).</w:t>
            </w:r>
          </w:p>
          <w:p>
            <w:pPr>
              <w:pStyle w:val="Normal"/>
              <w:widowControl w:val="false"/>
              <w:tabs>
                <w:tab w:val="left" w:pos="565" w:leader="none"/>
                <w:tab w:val="left" w:pos="993" w:leader="none"/>
              </w:tabs>
              <w:spacing w:lineRule="exact" w:line="274" w:before="0" w:after="0"/>
              <w:rPr/>
            </w:pPr>
            <w:r>
              <w:rPr/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tabs>
                <w:tab w:val="left" w:pos="565" w:leader="none"/>
                <w:tab w:val="left" w:pos="993" w:leader="none"/>
              </w:tabs>
              <w:spacing w:lineRule="exact" w:line="274" w:before="0" w:after="0"/>
              <w:rPr>
                <w:color w:val="0000FF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 xml:space="preserve">Обеспечить прокладку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 xml:space="preserve">вторичных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 xml:space="preserve">цепей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>учета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 xml:space="preserve"> (цеп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 xml:space="preserve"> тока и напряжения) непосредственно до испытательн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>ой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 xml:space="preserve"> короб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>ки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 xml:space="preserve">, контрольным кабелем КВВГнг-LS 7х2,5 мм2 для токовых цепей и контрольным кабелем КВВГнг-LS 4х2,5 мм2 для цепей напряжения,  длинной необходимой для подключения. </w:t>
            </w:r>
          </w:p>
          <w:p>
            <w:pPr>
              <w:pStyle w:val="Normal"/>
              <w:widowControl w:val="false"/>
              <w:tabs>
                <w:tab w:val="left" w:pos="565" w:leader="none"/>
                <w:tab w:val="left" w:pos="993" w:leader="none"/>
              </w:tabs>
              <w:spacing w:lineRule="exact" w:line="274" w:before="0" w:after="0"/>
              <w:jc w:val="center"/>
              <w:rPr/>
            </w:pPr>
            <w:r>
              <w:rPr/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FF"/>
              </w:rPr>
            </w:pPr>
            <w:r>
              <w:rPr>
                <w:rFonts w:eastAsia="Times New Roman" w:cs="Times New Roman" w:ascii="Times New Roman" w:hAnsi="Times New Roman"/>
                <w:color w:val="0000FF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 w:ascii="Times New Roman" w:hAnsi="Times New Roman"/>
                <w:color w:val="0000F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tabs>
                <w:tab w:val="left" w:pos="565" w:leader="none"/>
                <w:tab w:val="left" w:pos="993" w:leader="none"/>
              </w:tabs>
              <w:spacing w:lineRule="exact" w:line="274" w:before="0" w:after="0"/>
              <w:rPr>
                <w:color w:val="0000FF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>Измерительные трансформаторы тока</w:t>
            </w:r>
          </w:p>
          <w:p>
            <w:pPr>
              <w:pStyle w:val="Normal"/>
              <w:widowControl w:val="false"/>
              <w:tabs>
                <w:tab w:val="left" w:pos="565" w:leader="none"/>
                <w:tab w:val="left" w:pos="993" w:leader="none"/>
              </w:tabs>
              <w:spacing w:lineRule="exact" w:line="274" w:before="0" w:after="0"/>
              <w:rPr/>
            </w:pPr>
            <w:r>
              <w:rPr/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tabs>
                <w:tab w:val="left" w:pos="565" w:leader="none"/>
                <w:tab w:val="left" w:pos="993" w:leader="none"/>
              </w:tabs>
              <w:spacing w:lineRule="exact" w:line="274" w:before="0" w:after="0"/>
              <w:rPr/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  <w:lang w:val="ru-RU" w:eastAsia="zh-CN" w:bidi="ar-SA"/>
              </w:rPr>
              <w:t>Класс точности обмотки учета измерительных трансформаторов тока принять равным 0,5S, межповерочный интервал не менее 8 лет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FF"/>
              </w:rPr>
            </w:pPr>
            <w:r>
              <w:rPr>
                <w:rFonts w:eastAsia="Times New Roman" w:cs="Times New Roman" w:ascii="Times New Roman" w:hAnsi="Times New Roman"/>
                <w:color w:val="0000FF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 w:ascii="Times New Roman" w:hAnsi="Times New Roman"/>
                <w:color w:val="0000F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tabs>
                <w:tab w:val="left" w:pos="565" w:leader="none"/>
                <w:tab w:val="left" w:pos="993" w:leader="none"/>
              </w:tabs>
              <w:spacing w:lineRule="exact" w:line="274" w:before="0" w:after="0"/>
              <w:rPr>
                <w:color w:val="0000FF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</w:rPr>
              <w:t>Измерительные трансформаторы напряжения</w:t>
            </w:r>
          </w:p>
          <w:p>
            <w:pPr>
              <w:pStyle w:val="Normal"/>
              <w:widowControl w:val="false"/>
              <w:tabs>
                <w:tab w:val="left" w:pos="565" w:leader="none"/>
                <w:tab w:val="left" w:pos="993" w:leader="none"/>
              </w:tabs>
              <w:spacing w:lineRule="exact" w:line="274" w:before="0" w:after="0"/>
              <w:rPr/>
            </w:pPr>
            <w:r>
              <w:rPr/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tabs>
                <w:tab w:val="left" w:pos="565" w:leader="none"/>
                <w:tab w:val="left" w:pos="993" w:leader="none"/>
              </w:tabs>
              <w:spacing w:lineRule="exact" w:line="274" w:before="0" w:after="0"/>
              <w:rPr/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FF"/>
                <w:sz w:val="24"/>
                <w:szCs w:val="24"/>
                <w:u w:val="none"/>
                <w:em w:val="none"/>
                <w:lang w:val="ru-RU" w:eastAsia="zh-CN" w:bidi="ar-SA"/>
              </w:rPr>
              <w:t>Класс точности обмотки учета измерительных трансформаторов напряжения принять равным 0,5, межповерочный интервал не менее 8 лет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color w:val="0000FF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FF"/>
              </w:rPr>
            </w:pPr>
            <w:r>
              <w:rPr>
                <w:rFonts w:eastAsia="Times New Roman" w:cs="Times New Roman" w:ascii="Times New Roman" w:hAnsi="Times New Roman"/>
                <w:color w:val="0000FF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 w:ascii="Times New Roman" w:hAnsi="Times New Roman"/>
                <w:color w:val="0000F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 xml:space="preserve">Применить средства измерения электроэнергии, имеющие свидетельство о регистрации в системе Аршин,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классом не ниже 0,5S потоку, и не ниже 0,5 по напряжению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Счетчик НАРТИС-И300-W133-2-A5SR1-57-5-10A-TN-RS485-P1-EHLMOQ1V3Z/1-D в комплекте: Сменный модуль связи НАРТИС-МР-М3.3-NB2G-SC (или его эквивалент) - 2 шт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FF"/>
              </w:rPr>
            </w:pPr>
            <w:r>
              <w:rPr>
                <w:rFonts w:eastAsia="Times New Roman" w:cs="Times New Roman" w:ascii="Times New Roman" w:hAnsi="Times New Roman"/>
                <w:color w:val="0000FF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 w:ascii="Times New Roman" w:hAnsi="Times New Roman"/>
                <w:color w:val="0000F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tabs>
                <w:tab w:val="left" w:pos="565" w:leader="none"/>
                <w:tab w:val="left" w:pos="993" w:leader="none"/>
              </w:tabs>
              <w:spacing w:lineRule="exact" w:line="274" w:before="0" w:after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Организация канала передачи данных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tabs>
                <w:tab w:val="left" w:pos="565" w:leader="none"/>
                <w:tab w:val="left" w:pos="993" w:leader="none"/>
              </w:tabs>
              <w:spacing w:lineRule="exact" w:line="274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 цифровой облачной платформы энергоданных ПАО «РусГидро» с применением GSM/GPRS технологии и обеспечением физического разделения с технологическим сегментом сети (телемеханика, связь, РЗАиПА)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FF"/>
              </w:rPr>
            </w:pPr>
            <w:r>
              <w:rPr>
                <w:rFonts w:eastAsia="Times New Roman" w:cs="Times New Roman" w:ascii="Times New Roman" w:hAnsi="Times New Roman"/>
                <w:color w:val="0000FF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 w:ascii="Times New Roman" w:hAnsi="Times New Roman"/>
                <w:color w:val="0000F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Система АСУ ТП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Предусмотреть устройство ТМ, предусмотреть передачу данных с каждого вакуумного выключателя в устройство ТМ, организовать выдачу телеметрической информации в ОИК соответствующего ДП по двум оптическим каналам. Обеспечить дистанционный мониторинг оборудования СДТУ.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FF"/>
              </w:rPr>
            </w:pPr>
            <w:r>
              <w:rPr>
                <w:rFonts w:eastAsia="Times New Roman" w:cs="Times New Roman" w:ascii="Times New Roman" w:hAnsi="Times New Roman"/>
                <w:color w:val="0000F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Вид обслуживания ПС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Без постоянного присутствия персонала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020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FF"/>
              </w:rPr>
            </w:pPr>
            <w:r>
              <w:rPr>
                <w:rFonts w:eastAsia="Times New Roman" w:cs="Times New Roman" w:ascii="Times New Roman" w:hAnsi="Times New Roman"/>
                <w:color w:val="0000FF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Эксплуатационные документы в соответствии с ГОСТ 2.601-2019 ( руководство по эксплуатации, формуляр или паспорт, инструкция по монтажу, ведомость ЗИП, этикетка) количество экземпляров, шт.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FF"/>
              </w:rPr>
            </w:pPr>
            <w:r>
              <w:rPr>
                <w:rFonts w:eastAsia="Times New Roman" w:cs="Times New Roman" w:ascii="Times New Roman" w:hAnsi="Times New Roman"/>
                <w:color w:val="0000FF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Дополнительные требования: (включить в комплект поставки):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tcMar>
              <w:left w:w="6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</w:rPr>
        <w:t>Примечания:</w:t>
      </w:r>
    </w:p>
    <w:p>
      <w:pPr>
        <w:pStyle w:val="Normal"/>
        <w:widowControl w:val="false"/>
        <w:spacing w:lineRule="auto" w:line="240" w:before="0" w:after="0"/>
        <w:rPr/>
      </w:pPr>
      <w:r>
        <w:rPr>
          <w:rFonts w:cs="Times New Roman" w:ascii="Times New Roman" w:hAnsi="Times New Roman"/>
          <w:sz w:val="24"/>
          <w:szCs w:val="24"/>
        </w:rPr>
        <w:t>1. Параметры, отмеченные *, должны быть представлены/указаны Участником (конкретным параметром).</w:t>
      </w:r>
    </w:p>
    <w:sectPr>
      <w:type w:val="nextPage"/>
      <w:pgSz w:orient="landscape" w:w="16838" w:h="11906"/>
      <w:pgMar w:left="1134" w:right="1387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6745e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75571b"/>
    <w:rPr>
      <w:rFonts w:ascii="Segoe UI" w:hAnsi="Segoe UI" w:cs="Segoe UI"/>
      <w:sz w:val="18"/>
      <w:szCs w:val="1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437c4c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nnotationtext"/>
    <w:uiPriority w:val="99"/>
    <w:semiHidden/>
    <w:qFormat/>
    <w:rsid w:val="00437c4c"/>
    <w:rPr>
      <w:rFonts w:ascii="Calibri" w:hAnsi="Calibri" w:eastAsia="Calibri"/>
      <w:color w:val="00000A"/>
      <w:szCs w:val="20"/>
    </w:rPr>
  </w:style>
  <w:style w:type="character" w:styleId="Style16" w:customStyle="1">
    <w:name w:val="Тема примечания Знак"/>
    <w:basedOn w:val="Style15"/>
    <w:link w:val="Annotationsubject"/>
    <w:uiPriority w:val="99"/>
    <w:semiHidden/>
    <w:qFormat/>
    <w:rsid w:val="00437c4c"/>
    <w:rPr>
      <w:rFonts w:ascii="Calibri" w:hAnsi="Calibri" w:eastAsia="Calibri"/>
      <w:b/>
      <w:bCs/>
      <w:color w:val="00000A"/>
      <w:szCs w:val="20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Style22">
    <w:name w:val="Title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" w:customStyle="1">
    <w:name w:val="caption11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75571b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437c4c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/>
      <w:color w:val="00000A"/>
      <w:sz w:val="22"/>
      <w:szCs w:val="22"/>
      <w:lang w:val="ru-RU" w:eastAsia="en-US" w:bidi="ar-SA"/>
    </w:rPr>
  </w:style>
  <w:style w:type="paragraph" w:styleId="Annotationtext">
    <w:name w:val="annotation text"/>
    <w:basedOn w:val="Normal"/>
    <w:link w:val="Style10"/>
    <w:uiPriority w:val="99"/>
    <w:semiHidden/>
    <w:unhideWhenUsed/>
    <w:qFormat/>
    <w:rsid w:val="00437c4c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Style11"/>
    <w:uiPriority w:val="99"/>
    <w:semiHidden/>
    <w:unhideWhenUsed/>
    <w:qFormat/>
    <w:rsid w:val="00437c4c"/>
    <w:pPr/>
    <w:rPr>
      <w:b/>
      <w:bCs/>
    </w:rPr>
  </w:style>
  <w:style w:type="paragraph" w:styleId="Style23">
    <w:name w:val="Содержимое таблицы"/>
    <w:basedOn w:val="Normal"/>
    <w:qFormat/>
    <w:pPr>
      <w:widowControl w:val="false"/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paragraph" w:styleId="ListParagraph">
    <w:name w:val="List Paragraph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eastAsia="Calibri" w:cs="Calibri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CB7D4-CAC4-4AA7-80B4-72684E946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Application>LibreOffice/5.3.6.1$Linux_X86_64 LibreOffice_project/30$Build-1</Application>
  <Pages>6</Pages>
  <Words>831</Words>
  <Characters>5279</Characters>
  <CharactersWithSpaces>5937</CharactersWithSpaces>
  <Paragraphs>186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2024-03-22T01:57:00Z</dcterms:created>
  <dc:creator/>
  <dc:description/>
  <dc:language>ru-RU</dc:language>
  <cp:lastModifiedBy/>
  <dcterms:modified xsi:type="dcterms:W3CDTF">2026-03-11T17:22:46Z</dcterms:modified>
  <cp:revision>85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DRSK</vt:lpwstr>
  </property>
</Properties>
</file>